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00000" w:rsidRDefault="00965BDC">
      <w:pPr>
        <w:spacing w:line="240" w:lineRule="atLeast"/>
        <w:jc w:val="center"/>
        <w:rPr>
          <w:rFonts w:ascii="Arial" w:hAnsi="Arial" w:cs="Arial"/>
          <w:i/>
          <w:sz w:val="18"/>
        </w:rPr>
      </w:pPr>
      <w:r>
        <w:rPr>
          <w:rFonts w:ascii="Arial" w:hAnsi="Arial" w:cs="Arial"/>
          <w:sz w:val="44"/>
        </w:rPr>
        <w:t>COMUNE DI GAZZOLA</w:t>
      </w:r>
      <w:r>
        <w:rPr>
          <w:rFonts w:ascii="Arial" w:hAnsi="Arial" w:cs="Arial"/>
          <w:i/>
          <w:sz w:val="44"/>
        </w:rPr>
        <w:t xml:space="preserve"> </w:t>
      </w:r>
    </w:p>
    <w:p w:rsidR="00000000" w:rsidRDefault="00965BDC">
      <w:pPr>
        <w:spacing w:line="240" w:lineRule="atLeast"/>
        <w:ind w:right="451"/>
        <w:jc w:val="center"/>
        <w:rPr>
          <w:rFonts w:ascii="Arial" w:hAnsi="Arial" w:cs="Arial"/>
          <w:sz w:val="18"/>
        </w:rPr>
      </w:pPr>
      <w:r>
        <w:rPr>
          <w:rFonts w:ascii="Arial" w:hAnsi="Arial" w:cs="Arial"/>
          <w:i/>
          <w:sz w:val="18"/>
        </w:rPr>
        <w:t>provincia di Piacenza</w:t>
      </w:r>
    </w:p>
    <w:p w:rsidR="00000000" w:rsidRDefault="00965BDC">
      <w:pPr>
        <w:spacing w:line="240" w:lineRule="atLeast"/>
        <w:ind w:right="381"/>
        <w:rPr>
          <w:rFonts w:ascii="Arial" w:hAnsi="Arial" w:cs="Arial"/>
          <w:sz w:val="18"/>
        </w:rPr>
      </w:pPr>
    </w:p>
    <w:p w:rsidR="00000000" w:rsidRDefault="00965BDC">
      <w:pPr>
        <w:spacing w:line="240" w:lineRule="atLeast"/>
        <w:ind w:right="381"/>
        <w:jc w:val="center"/>
        <w:rPr>
          <w:rFonts w:ascii="Arial" w:hAnsi="Arial" w:cs="Arial"/>
          <w:i/>
          <w:sz w:val="18"/>
        </w:rPr>
      </w:pPr>
      <w:r>
        <w:rPr>
          <w:rFonts w:ascii="Wingdings" w:hAnsi="Wingdings" w:cs="Wingdings"/>
          <w:sz w:val="18"/>
        </w:rPr>
        <w:t></w:t>
      </w:r>
      <w:r>
        <w:rPr>
          <w:rFonts w:ascii="Arial" w:hAnsi="Arial" w:cs="Arial"/>
          <w:sz w:val="18"/>
        </w:rPr>
        <w:t xml:space="preserve"> </w:t>
      </w:r>
      <w:r>
        <w:rPr>
          <w:rFonts w:ascii="Arial Narrow" w:hAnsi="Arial Narrow" w:cs="Arial Narrow"/>
          <w:sz w:val="18"/>
        </w:rPr>
        <w:t xml:space="preserve">uffici  </w:t>
      </w:r>
      <w:r>
        <w:rPr>
          <w:rFonts w:ascii="Arial Narrow" w:hAnsi="Arial Narrow" w:cs="Arial Narrow"/>
          <w:b/>
          <w:sz w:val="18"/>
        </w:rPr>
        <w:t>0523 / 975221</w:t>
      </w:r>
      <w:r>
        <w:rPr>
          <w:rFonts w:ascii="Arial Narrow" w:hAnsi="Arial Narrow" w:cs="Arial Narrow"/>
          <w:sz w:val="18"/>
        </w:rPr>
        <w:t xml:space="preserve"> ufficio tecnico </w:t>
      </w:r>
      <w:r>
        <w:rPr>
          <w:rFonts w:ascii="Arial Narrow" w:hAnsi="Arial Narrow" w:cs="Arial Narrow"/>
          <w:b/>
          <w:sz w:val="18"/>
        </w:rPr>
        <w:t>976762</w:t>
      </w:r>
      <w:r>
        <w:rPr>
          <w:rFonts w:ascii="Arial Narrow" w:hAnsi="Arial Narrow" w:cs="Arial Narrow"/>
          <w:sz w:val="18"/>
        </w:rPr>
        <w:t xml:space="preserve">  fax </w:t>
      </w:r>
      <w:r>
        <w:rPr>
          <w:rFonts w:ascii="Arial Narrow" w:hAnsi="Arial Narrow" w:cs="Arial Narrow"/>
          <w:b/>
          <w:sz w:val="18"/>
        </w:rPr>
        <w:t>976767</w:t>
      </w:r>
      <w:r>
        <w:rPr>
          <w:rFonts w:ascii="Arial Narrow" w:hAnsi="Arial Narrow" w:cs="Arial Narrow"/>
          <w:b/>
          <w:sz w:val="18"/>
        </w:rPr>
        <w:tab/>
      </w:r>
      <w:r>
        <w:rPr>
          <w:rFonts w:ascii="Arial Narrow" w:hAnsi="Arial Narrow" w:cs="Arial Narrow"/>
          <w:sz w:val="18"/>
        </w:rPr>
        <w:t xml:space="preserve">  </w:t>
      </w:r>
      <w:hyperlink r:id="rId6" w:history="1">
        <w:r>
          <w:rPr>
            <w:rStyle w:val="Collegamentoipertestuale"/>
            <w:b/>
            <w:color w:val="auto"/>
            <w:sz w:val="18"/>
          </w:rPr>
          <w:t>comune.gazzola@agonet.it</w:t>
        </w:r>
      </w:hyperlink>
    </w:p>
    <w:p w:rsidR="00000000" w:rsidRDefault="00965BDC">
      <w:pPr>
        <w:spacing w:line="240" w:lineRule="atLeast"/>
        <w:ind w:right="381"/>
        <w:rPr>
          <w:rFonts w:ascii="Arial" w:hAnsi="Arial" w:cs="Arial"/>
          <w:i/>
          <w:sz w:val="18"/>
        </w:rPr>
      </w:pPr>
    </w:p>
    <w:p w:rsidR="00000000" w:rsidRDefault="00965BDC">
      <w:pPr>
        <w:spacing w:line="240" w:lineRule="atLeast"/>
        <w:ind w:right="381"/>
        <w:rPr>
          <w:rFonts w:ascii="Arial" w:hAnsi="Arial" w:cs="Arial"/>
          <w:i/>
          <w:sz w:val="18"/>
        </w:rPr>
      </w:pPr>
      <w:r>
        <w:rPr>
          <w:rFonts w:ascii="Arial" w:hAnsi="Arial" w:cs="Arial"/>
          <w:i/>
          <w:sz w:val="18"/>
        </w:rPr>
        <w:t>DATA  ________</w:t>
      </w:r>
    </w:p>
    <w:p w:rsidR="00000000" w:rsidRDefault="00965BDC">
      <w:pPr>
        <w:spacing w:line="240" w:lineRule="atLeast"/>
        <w:ind w:right="381"/>
        <w:rPr>
          <w:rFonts w:ascii="Arial" w:hAnsi="Arial" w:cs="Arial"/>
          <w:i/>
          <w:sz w:val="18"/>
        </w:rPr>
      </w:pPr>
      <w:r>
        <w:rPr>
          <w:rFonts w:ascii="Arial" w:hAnsi="Arial" w:cs="Arial"/>
          <w:i/>
          <w:sz w:val="18"/>
        </w:rPr>
        <w:t>PROT.  __________</w:t>
      </w:r>
    </w:p>
    <w:p w:rsidR="00000000" w:rsidRDefault="00965BDC">
      <w:pPr>
        <w:spacing w:line="240" w:lineRule="atLeast"/>
        <w:ind w:right="381"/>
        <w:rPr>
          <w:rFonts w:ascii="Arial" w:hAnsi="Arial" w:cs="Arial"/>
          <w:sz w:val="18"/>
        </w:rPr>
      </w:pPr>
      <w:r>
        <w:rPr>
          <w:rFonts w:ascii="Arial" w:hAnsi="Arial" w:cs="Arial"/>
          <w:i/>
          <w:sz w:val="18"/>
        </w:rPr>
        <w:t xml:space="preserve"> </w:t>
      </w:r>
      <w:r>
        <w:rPr>
          <w:rFonts w:ascii="Wingdings" w:hAnsi="Wingdings" w:cs="Wingdings"/>
          <w:sz w:val="18"/>
        </w:rPr>
        <w:t></w:t>
      </w:r>
      <w:r>
        <w:rPr>
          <w:rFonts w:ascii="Wingdings" w:hAnsi="Wingdings" w:cs="Wingdings"/>
          <w:sz w:val="18"/>
        </w:rPr>
        <w:t></w:t>
      </w:r>
      <w:r>
        <w:rPr>
          <w:sz w:val="18"/>
        </w:rPr>
        <w:t>= _ progpiazzolaridottoeuro_</w:t>
      </w:r>
    </w:p>
    <w:p w:rsidR="00000000" w:rsidRDefault="00965BDC">
      <w:pPr>
        <w:spacing w:line="240" w:lineRule="atLeast"/>
        <w:ind w:right="381"/>
        <w:jc w:val="right"/>
        <w:rPr>
          <w:rFonts w:ascii="Arial" w:hAnsi="Arial" w:cs="Arial"/>
          <w:sz w:val="18"/>
        </w:rPr>
      </w:pPr>
      <w:r>
        <w:rPr>
          <w:rFonts w:ascii="Arial" w:hAnsi="Arial" w:cs="Arial"/>
          <w:sz w:val="18"/>
        </w:rPr>
        <w:br/>
        <w:t>All’Amministr</w:t>
      </w:r>
      <w:r>
        <w:rPr>
          <w:rFonts w:ascii="Arial" w:hAnsi="Arial" w:cs="Arial"/>
          <w:sz w:val="18"/>
        </w:rPr>
        <w:t xml:space="preserve">azione C.le di </w:t>
      </w:r>
    </w:p>
    <w:p w:rsidR="00000000" w:rsidRDefault="00965BDC">
      <w:pPr>
        <w:spacing w:line="240" w:lineRule="atLeast"/>
        <w:ind w:right="381"/>
        <w:jc w:val="right"/>
        <w:rPr>
          <w:rFonts w:ascii="Arial" w:hAnsi="Arial" w:cs="Arial"/>
          <w:i/>
          <w:sz w:val="18"/>
        </w:rPr>
      </w:pPr>
      <w:r>
        <w:rPr>
          <w:rFonts w:ascii="Arial" w:hAnsi="Arial" w:cs="Arial"/>
          <w:sz w:val="18"/>
        </w:rPr>
        <w:t xml:space="preserve">Gazzola </w:t>
      </w:r>
    </w:p>
    <w:p w:rsidR="00000000" w:rsidRDefault="00965BDC">
      <w:pPr>
        <w:spacing w:line="240" w:lineRule="atLeast"/>
        <w:ind w:right="381"/>
        <w:rPr>
          <w:rFonts w:ascii="Arial" w:hAnsi="Arial" w:cs="Arial"/>
          <w:i/>
          <w:sz w:val="18"/>
        </w:rPr>
      </w:pPr>
    </w:p>
    <w:p w:rsidR="00000000" w:rsidRDefault="00965BDC">
      <w:pPr>
        <w:spacing w:line="240" w:lineRule="atLeast"/>
        <w:ind w:right="381"/>
      </w:pPr>
      <w:r>
        <w:rPr>
          <w:i/>
          <w:sz w:val="18"/>
        </w:rPr>
        <w:t xml:space="preserve"> </w:t>
      </w:r>
    </w:p>
    <w:p w:rsidR="00000000" w:rsidRDefault="00965BDC">
      <w:pPr>
        <w:spacing w:line="240" w:lineRule="atLeast"/>
        <w:ind w:right="381"/>
        <w:rPr>
          <w:i/>
          <w:sz w:val="18"/>
          <w:lang w:val="it-IT"/>
        </w:rPr>
      </w:pPr>
      <w:r>
        <w:pict>
          <v:shapetype id="_x0000_t202" coordsize="21600,21600" o:spt="202" path="m,l,21600r21600,l21600,xe">
            <v:stroke joinstyle="miter"/>
            <v:path gradientshapeok="t" o:connecttype="rect"/>
          </v:shapetype>
          <v:shape id="_x0000_s1026" type="#_x0000_t202" style="position:absolute;margin-left:1.85pt;margin-top:3.05pt;width:60.95pt;height:27.95pt;z-index:251657728;mso-wrap-distance-left:9.05pt;mso-wrap-distance-right:9.05pt;mso-position-horizontal:absolute;mso-position-horizontal-relative:text;mso-position-vertical:absolute;mso-position-vertical-relative:text" strokeweight=".5pt">
            <v:fill opacity="0" color2="black"/>
            <v:textbox inset="7.45pt,3.85pt,7.45pt,3.85pt">
              <w:txbxContent>
                <w:p w:rsidR="00000000" w:rsidRDefault="00965BDC">
                  <w:pPr>
                    <w:pStyle w:val="Titolo2"/>
                  </w:pPr>
                  <w:r>
                    <w:rPr>
                      <w:b w:val="0"/>
                      <w:i w:val="0"/>
                      <w:sz w:val="20"/>
                    </w:rPr>
                    <w:t>Oggetto</w:t>
                  </w:r>
                </w:p>
              </w:txbxContent>
            </v:textbox>
          </v:shape>
        </w:pict>
      </w:r>
    </w:p>
    <w:p w:rsidR="00000000" w:rsidRDefault="00965BDC">
      <w:pPr>
        <w:spacing w:line="240" w:lineRule="atLeast"/>
        <w:ind w:right="381"/>
        <w:rPr>
          <w:sz w:val="18"/>
        </w:rPr>
      </w:pPr>
      <w:r>
        <w:rPr>
          <w:i/>
          <w:sz w:val="18"/>
        </w:rPr>
        <w:t xml:space="preserve">                      </w:t>
      </w:r>
      <w:r>
        <w:rPr>
          <w:rFonts w:ascii="Wingdings" w:hAnsi="Wingdings" w:cs="Wingdings"/>
          <w:sz w:val="18"/>
        </w:rPr>
        <w:t></w:t>
      </w:r>
      <w:r>
        <w:rPr>
          <w:sz w:val="18"/>
        </w:rPr>
        <w:t xml:space="preserve"> </w:t>
      </w:r>
      <w:r>
        <w:rPr>
          <w:sz w:val="18"/>
        </w:rPr>
        <w:t xml:space="preserve">_ Relazione tecnica - computo metrico relativo a progetto per la realizzazione di piazzola ecologica </w:t>
      </w:r>
    </w:p>
    <w:p w:rsidR="00000000" w:rsidRDefault="00965BDC">
      <w:pPr>
        <w:spacing w:line="240" w:lineRule="atLeast"/>
        <w:ind w:right="381"/>
        <w:rPr>
          <w:sz w:val="18"/>
        </w:rPr>
      </w:pPr>
      <w:r>
        <w:rPr>
          <w:sz w:val="18"/>
        </w:rPr>
        <w:tab/>
      </w:r>
      <w:r>
        <w:rPr>
          <w:sz w:val="18"/>
        </w:rPr>
        <w:tab/>
      </w:r>
      <w:r>
        <w:rPr>
          <w:sz w:val="18"/>
        </w:rPr>
        <w:tab/>
        <w:t xml:space="preserve">nel capoluogo_opere minime </w:t>
      </w:r>
    </w:p>
    <w:p w:rsidR="00000000" w:rsidRDefault="00965BDC">
      <w:pPr>
        <w:spacing w:line="240" w:lineRule="atLeast"/>
        <w:ind w:right="381"/>
        <w:rPr>
          <w:sz w:val="18"/>
        </w:rPr>
      </w:pPr>
    </w:p>
    <w:p w:rsidR="00000000" w:rsidRDefault="00965BDC">
      <w:pPr>
        <w:spacing w:line="240" w:lineRule="atLeast"/>
        <w:ind w:right="381"/>
        <w:jc w:val="center"/>
        <w:rPr>
          <w:rFonts w:ascii="Botanical" w:hAnsi="Botanical" w:cs="Botanical"/>
          <w:sz w:val="18"/>
        </w:rPr>
      </w:pPr>
    </w:p>
    <w:p w:rsidR="00000000" w:rsidRDefault="00965BDC">
      <w:pPr>
        <w:spacing w:line="240" w:lineRule="atLeast"/>
        <w:ind w:right="381"/>
        <w:jc w:val="center"/>
        <w:rPr>
          <w:sz w:val="18"/>
        </w:rPr>
      </w:pPr>
    </w:p>
    <w:p w:rsidR="00000000" w:rsidRDefault="00965BDC">
      <w:pPr>
        <w:pStyle w:val="Corpodeltesto"/>
        <w:rPr>
          <w:sz w:val="18"/>
        </w:rPr>
      </w:pPr>
      <w:r>
        <w:rPr>
          <w:sz w:val="18"/>
        </w:rPr>
        <w:t>Con la presente si comunica che, come da disposizioni, il sottoscr</w:t>
      </w:r>
      <w:r>
        <w:rPr>
          <w:sz w:val="18"/>
        </w:rPr>
        <w:t xml:space="preserve">itto ha elaborato il progetto per la realizzazione, una volta ultimato il capannone prefabbricato ad uso ricovero mezzi ed attrezzi comunali, di una “piazzola ecologica” ad uso stoccaggio provvisorio rifiuti ingombranti, divisi per categorie di materiali, </w:t>
      </w:r>
      <w:r>
        <w:rPr>
          <w:sz w:val="18"/>
        </w:rPr>
        <w:t xml:space="preserve">e per magazzino/scorta di contenitori per rifiuti.  Rispetto alla precedente , già progettata, sono state ridotte al minimo le opere attrezzature per poter utilizzare l'impianto . L’area è individuata nel lotto di recente acquisto, ove è stato realizzato  </w:t>
      </w:r>
      <w:r>
        <w:rPr>
          <w:sz w:val="18"/>
        </w:rPr>
        <w:t>il capannone. Al fine di migliorare l’usufruibilità della superficie, è prevista la parziale  cementazione, idonea al lavoro di mezzi pesanti, e la recinzione con ampio cancello. Infine si doterà l’area cementata  di rete fognatura acque meteoriche mediant</w:t>
      </w:r>
      <w:r>
        <w:rPr>
          <w:sz w:val="18"/>
        </w:rPr>
        <w:t>e pozzetti e griglie carrabili, collegate da tubazioni sotterranee.</w:t>
      </w:r>
    </w:p>
    <w:p w:rsidR="00000000" w:rsidRDefault="00965BDC">
      <w:pPr>
        <w:spacing w:line="240" w:lineRule="atLeast"/>
        <w:jc w:val="both"/>
        <w:rPr>
          <w:rFonts w:ascii="Tahoma" w:hAnsi="Tahoma" w:cs="Tahoma"/>
          <w:sz w:val="18"/>
        </w:rPr>
      </w:pPr>
    </w:p>
    <w:p w:rsidR="00000000" w:rsidRDefault="00965BDC">
      <w:pPr>
        <w:pStyle w:val="Titolo3"/>
        <w:rPr>
          <w:sz w:val="18"/>
        </w:rPr>
      </w:pPr>
      <w:r>
        <w:rPr>
          <w:sz w:val="18"/>
        </w:rPr>
        <w:t>Computo metrico estimativo</w:t>
      </w:r>
    </w:p>
    <w:p w:rsidR="00000000" w:rsidRDefault="00965BDC">
      <w:pPr>
        <w:spacing w:line="240" w:lineRule="atLeast"/>
        <w:jc w:val="center"/>
        <w:rPr>
          <w:rFonts w:ascii="Tahoma" w:hAnsi="Tahoma" w:cs="Tahoma"/>
          <w:sz w:val="18"/>
        </w:rPr>
      </w:pPr>
    </w:p>
    <w:p w:rsidR="00000000" w:rsidRDefault="00965BDC">
      <w:pPr>
        <w:pStyle w:val="Corpodeltesto"/>
        <w:numPr>
          <w:ilvl w:val="0"/>
          <w:numId w:val="4"/>
        </w:numPr>
        <w:rPr>
          <w:sz w:val="18"/>
        </w:rPr>
      </w:pPr>
      <w:r>
        <w:rPr>
          <w:sz w:val="18"/>
        </w:rPr>
        <w:t xml:space="preserve">f.p.o. recinzione metallica plastificata colore verde, sorretta da pali in ferro anch’essi plastificati, sagoma a “T”, annegati in plinto di cls 40 cm x 40 cm </w:t>
      </w:r>
      <w:r>
        <w:rPr>
          <w:sz w:val="18"/>
        </w:rPr>
        <w:t xml:space="preserve">x h 50 cm realizzato in opera, comprese saette e tiranti ove necessario, tendirete (2). Compreso scavo ed ogni altro onere per dare l’opera finita. Rete h fuori terra ml 120; interasse fra i paletti = 2.00 ml. Rete a maglia romboidale. </w:t>
      </w:r>
    </w:p>
    <w:p w:rsidR="00000000" w:rsidRDefault="00965BDC">
      <w:pPr>
        <w:pStyle w:val="Corpodeltesto"/>
        <w:rPr>
          <w:color w:val="000000"/>
          <w:sz w:val="18"/>
        </w:rPr>
      </w:pPr>
      <w:r>
        <w:rPr>
          <w:sz w:val="18"/>
        </w:rPr>
        <w:t xml:space="preserve">    </w:t>
      </w:r>
    </w:p>
    <w:p w:rsidR="00000000" w:rsidRDefault="00965BDC">
      <w:pPr>
        <w:pStyle w:val="Corpodeltesto"/>
        <w:rPr>
          <w:sz w:val="18"/>
        </w:rPr>
      </w:pPr>
      <w:r>
        <w:rPr>
          <w:color w:val="000000"/>
          <w:sz w:val="18"/>
        </w:rPr>
        <w:t>lato d'accesso</w:t>
      </w:r>
      <w:r>
        <w:rPr>
          <w:color w:val="000000"/>
          <w:sz w:val="18"/>
        </w:rPr>
        <w:t xml:space="preserve">  ml 25 x ml h 1.2 x  €/mq 17.04 = </w:t>
      </w:r>
      <w:r>
        <w:rPr>
          <w:b/>
          <w:color w:val="000000"/>
          <w:sz w:val="18"/>
        </w:rPr>
        <w:t>€ 511.29</w:t>
      </w:r>
    </w:p>
    <w:p w:rsidR="00000000" w:rsidRDefault="00965BDC">
      <w:pPr>
        <w:pStyle w:val="Corpodeltesto"/>
        <w:rPr>
          <w:sz w:val="18"/>
        </w:rPr>
      </w:pPr>
    </w:p>
    <w:p w:rsidR="00000000" w:rsidRDefault="00965BDC">
      <w:pPr>
        <w:pStyle w:val="Corpodeltesto"/>
        <w:rPr>
          <w:sz w:val="18"/>
        </w:rPr>
      </w:pPr>
    </w:p>
    <w:p w:rsidR="00000000" w:rsidRDefault="00965BDC">
      <w:pPr>
        <w:pStyle w:val="Corpodeltesto"/>
        <w:numPr>
          <w:ilvl w:val="0"/>
          <w:numId w:val="4"/>
        </w:numPr>
      </w:pPr>
      <w:r>
        <w:rPr>
          <w:sz w:val="18"/>
        </w:rPr>
        <w:t>f.p.o. cancello scorrevole in acciaio zinacato a caldo, compreso ogni onere per la posa e la serratura.</w:t>
      </w:r>
    </w:p>
    <w:p w:rsidR="00000000" w:rsidRDefault="00965BDC">
      <w:pPr>
        <w:pStyle w:val="Corpodeltesto"/>
        <w:rPr>
          <w:sz w:val="18"/>
        </w:rPr>
      </w:pPr>
      <w:r>
        <w:tab/>
      </w:r>
      <w:r>
        <w:tab/>
      </w:r>
      <w:r>
        <w:tab/>
      </w:r>
      <w:r>
        <w:tab/>
      </w:r>
      <w:r>
        <w:tab/>
      </w:r>
      <w:r>
        <w:tab/>
      </w:r>
      <w:r>
        <w:tab/>
      </w:r>
      <w:r>
        <w:tab/>
      </w:r>
      <w:r>
        <w:tab/>
      </w:r>
      <w:r>
        <w:tab/>
      </w:r>
      <w:r>
        <w:tab/>
      </w:r>
      <w:r>
        <w:tab/>
      </w:r>
      <w:r>
        <w:tab/>
      </w:r>
      <w:r>
        <w:tab/>
      </w:r>
      <w:r>
        <w:rPr>
          <w:b/>
          <w:sz w:val="20"/>
        </w:rPr>
        <w:t>€ 2065.83</w:t>
      </w:r>
    </w:p>
    <w:p w:rsidR="00000000" w:rsidRDefault="00965BDC">
      <w:pPr>
        <w:pStyle w:val="1"/>
        <w:numPr>
          <w:ilvl w:val="0"/>
          <w:numId w:val="4"/>
        </w:numPr>
        <w:ind w:right="1159"/>
        <w:rPr>
          <w:rFonts w:ascii="Tahoma" w:hAnsi="Tahoma" w:cs="Tahoma"/>
          <w:color w:val="000000"/>
          <w:sz w:val="18"/>
        </w:rPr>
      </w:pPr>
      <w:r>
        <w:rPr>
          <w:rFonts w:ascii="Tahoma" w:hAnsi="Tahoma" w:cs="Tahoma"/>
          <w:sz w:val="18"/>
        </w:rPr>
        <w:t>Conglomerato cementizio per strutture di fondazione quali travi rovesce, solettoni</w:t>
      </w:r>
      <w:r>
        <w:rPr>
          <w:rFonts w:ascii="Tahoma" w:hAnsi="Tahoma" w:cs="Tahoma"/>
          <w:sz w:val="18"/>
        </w:rPr>
        <w:t>, plinti, cordoli, platee e altre strutture assimilabili in c.a., confezionato a norma di legge con cemento e inerti calcarei o di fiume di idonea granulometria, dato in opera compreso costipamento meccanico o a mano, il disarmante, i controlli previsti da</w:t>
      </w:r>
      <w:r>
        <w:rPr>
          <w:rFonts w:ascii="Tahoma" w:hAnsi="Tahoma" w:cs="Tahoma"/>
          <w:sz w:val="18"/>
        </w:rPr>
        <w:t>lle norme vigenti, ogni altro onere e magistero per dare il lavoro finito a regola d’arte, compresa l’armatura metallica a rete elettrosaldata  diam. 8 mm  e casseformi:</w:t>
      </w:r>
    </w:p>
    <w:p w:rsidR="00000000" w:rsidRDefault="00965BDC">
      <w:pPr>
        <w:pStyle w:val="a"/>
        <w:tabs>
          <w:tab w:val="clear" w:pos="9639"/>
          <w:tab w:val="right" w:pos="8505"/>
        </w:tabs>
        <w:ind w:left="426" w:right="1159" w:hanging="426"/>
        <w:rPr>
          <w:rFonts w:ascii="Tahoma" w:hAnsi="Tahoma" w:cs="Tahoma"/>
          <w:color w:val="000000"/>
          <w:sz w:val="18"/>
        </w:rPr>
      </w:pPr>
      <w:r>
        <w:rPr>
          <w:rFonts w:ascii="Tahoma" w:hAnsi="Tahoma" w:cs="Tahoma"/>
          <w:color w:val="000000"/>
          <w:sz w:val="18"/>
        </w:rPr>
        <w:t xml:space="preserve">    </w:t>
      </w:r>
      <w:r>
        <w:rPr>
          <w:rFonts w:ascii="Tahoma" w:hAnsi="Tahoma" w:cs="Tahoma"/>
          <w:color w:val="000000"/>
          <w:sz w:val="18"/>
        </w:rPr>
        <w:t xml:space="preserve">c) conglomerato cementizio con Rck non inf. a 25 N/mmq o                          </w:t>
      </w:r>
      <w:r>
        <w:rPr>
          <w:rFonts w:ascii="Tahoma" w:hAnsi="Tahoma" w:cs="Tahoma"/>
          <w:color w:val="000000"/>
          <w:sz w:val="18"/>
        </w:rPr>
        <w:t xml:space="preserve">                                                    250 kg/cmq                                               €./mq 20.66</w:t>
      </w:r>
    </w:p>
    <w:p w:rsidR="00000000" w:rsidRDefault="00965BDC">
      <w:pPr>
        <w:spacing w:line="240" w:lineRule="atLeast"/>
        <w:jc w:val="both"/>
        <w:rPr>
          <w:rFonts w:ascii="Tahoma" w:hAnsi="Tahoma" w:cs="Tahoma"/>
          <w:color w:val="000000"/>
          <w:sz w:val="18"/>
        </w:rPr>
      </w:pPr>
    </w:p>
    <w:p w:rsidR="00000000" w:rsidRDefault="00965BDC">
      <w:pPr>
        <w:spacing w:line="240" w:lineRule="atLeast"/>
        <w:jc w:val="both"/>
        <w:rPr>
          <w:rFonts w:ascii="Tahoma" w:hAnsi="Tahoma" w:cs="Tahoma"/>
          <w:sz w:val="18"/>
          <w:lang w:val="en-GB"/>
        </w:rPr>
      </w:pPr>
      <w:r>
        <w:rPr>
          <w:rFonts w:ascii="Tahoma" w:hAnsi="Tahoma" w:cs="Tahoma"/>
          <w:color w:val="000000"/>
          <w:sz w:val="18"/>
        </w:rPr>
        <w:t xml:space="preserve">ml 10 x ml 22 ( h ml 0,20 ) x  20.66 €/mq = € </w:t>
      </w:r>
      <w:r>
        <w:rPr>
          <w:rFonts w:ascii="Tahoma" w:hAnsi="Tahoma" w:cs="Tahoma"/>
          <w:b/>
          <w:color w:val="000000"/>
          <w:sz w:val="18"/>
        </w:rPr>
        <w:t>4544.82</w:t>
      </w:r>
      <w:r>
        <w:rPr>
          <w:rFonts w:ascii="Tahoma" w:hAnsi="Tahoma" w:cs="Tahoma"/>
          <w:color w:val="000000"/>
          <w:sz w:val="18"/>
        </w:rPr>
        <w:t xml:space="preserve"> </w:t>
      </w:r>
    </w:p>
    <w:p w:rsidR="00000000" w:rsidRDefault="00965BDC">
      <w:pPr>
        <w:spacing w:line="240" w:lineRule="atLeast"/>
        <w:jc w:val="both"/>
        <w:rPr>
          <w:rFonts w:ascii="Tahoma" w:hAnsi="Tahoma" w:cs="Tahoma"/>
          <w:sz w:val="18"/>
          <w:lang w:val="en-GB"/>
        </w:rPr>
      </w:pPr>
    </w:p>
    <w:p w:rsidR="00000000" w:rsidRDefault="00965BDC">
      <w:pPr>
        <w:pStyle w:val="1"/>
        <w:rPr>
          <w:rFonts w:ascii="Tahoma" w:hAnsi="Tahoma" w:cs="Tahoma"/>
          <w:sz w:val="18"/>
        </w:rPr>
      </w:pPr>
      <w:r>
        <w:rPr>
          <w:rFonts w:ascii="Tahoma" w:hAnsi="Tahoma" w:cs="Tahoma"/>
          <w:sz w:val="18"/>
        </w:rPr>
        <w:t>11.1.9</w:t>
      </w:r>
      <w:r>
        <w:rPr>
          <w:rFonts w:ascii="Tahoma" w:hAnsi="Tahoma" w:cs="Tahoma"/>
          <w:sz w:val="18"/>
        </w:rPr>
        <w:tab/>
        <w:t>Fognatura eseguita con tubo in polietilene, alta densità PN 3,2, tipo 3</w:t>
      </w:r>
      <w:r>
        <w:rPr>
          <w:rFonts w:ascii="Tahoma" w:hAnsi="Tahoma" w:cs="Tahoma"/>
          <w:sz w:val="18"/>
        </w:rPr>
        <w:t xml:space="preserve">03, con spessori e caratteristiche rispondenti alle indicazioni UNI e IIP, con giunti saldati con idonea attrezzatura, posto in opera a qualsiasi profondità, anche in presenza di acqua, fino ad un battente di cm 20, completa di piano di posa costituito da </w:t>
      </w:r>
      <w:r>
        <w:rPr>
          <w:rFonts w:ascii="Tahoma" w:hAnsi="Tahoma" w:cs="Tahoma"/>
          <w:sz w:val="18"/>
        </w:rPr>
        <w:t xml:space="preserve">un letto di sabbia, </w:t>
      </w:r>
      <w:r>
        <w:rPr>
          <w:rFonts w:ascii="Tahoma" w:hAnsi="Tahoma" w:cs="Tahoma"/>
          <w:sz w:val="18"/>
        </w:rPr>
        <w:lastRenderedPageBreak/>
        <w:t>dello spessore minimo di cm 15+1/10 del diametro del tubo, il rinfianco e la copertura del tubo con sabbia fine e asciutta, dello stesso spessore del letto di posa; compresi oneri per tagli a misura, sfridi, pezzi speciali, aggottamento</w:t>
      </w:r>
      <w:r>
        <w:rPr>
          <w:rFonts w:ascii="Tahoma" w:hAnsi="Tahoma" w:cs="Tahoma"/>
          <w:sz w:val="18"/>
        </w:rPr>
        <w:t xml:space="preserve"> dell’acqua, prove di tenuta in opera, fornitura dei certificati relativi alle prove di laboratorio sui materiali, tiro e calo dei materiali, opere provvisionali necessarie ed ogni altro onere e magistero per dare il lavoro finito a regola d’arte; sono esc</w:t>
      </w:r>
      <w:r>
        <w:rPr>
          <w:rFonts w:ascii="Tahoma" w:hAnsi="Tahoma" w:cs="Tahoma"/>
          <w:sz w:val="18"/>
        </w:rPr>
        <w:t>lusi gli oneri di scavo e di rinterro da computarsi a parte.</w:t>
      </w:r>
    </w:p>
    <w:p w:rsidR="00000000" w:rsidRDefault="00965BDC">
      <w:pPr>
        <w:spacing w:line="240" w:lineRule="atLeast"/>
        <w:jc w:val="both"/>
        <w:rPr>
          <w:rFonts w:ascii="Tahoma" w:hAnsi="Tahoma" w:cs="Tahoma"/>
          <w:sz w:val="18"/>
        </w:rPr>
      </w:pPr>
      <w:r>
        <w:rPr>
          <w:rFonts w:ascii="Tahoma" w:hAnsi="Tahoma" w:cs="Tahoma"/>
          <w:sz w:val="18"/>
        </w:rPr>
        <w:t>a) Diametro esterno mm 200; spessore mm 6.2</w:t>
      </w:r>
      <w:r>
        <w:rPr>
          <w:rFonts w:ascii="Tahoma" w:hAnsi="Tahoma" w:cs="Tahoma"/>
          <w:sz w:val="18"/>
        </w:rPr>
        <w:tab/>
        <w:t>€/ml</w:t>
      </w:r>
      <w:r>
        <w:rPr>
          <w:rFonts w:ascii="Tahoma" w:hAnsi="Tahoma" w:cs="Tahoma"/>
          <w:sz w:val="18"/>
        </w:rPr>
        <w:tab/>
        <w:t xml:space="preserve">50.10 </w:t>
      </w:r>
    </w:p>
    <w:p w:rsidR="00000000" w:rsidRDefault="00965BDC">
      <w:pPr>
        <w:spacing w:line="240" w:lineRule="atLeast"/>
        <w:jc w:val="both"/>
        <w:rPr>
          <w:rFonts w:ascii="Tahoma" w:hAnsi="Tahoma" w:cs="Tahoma"/>
          <w:sz w:val="18"/>
        </w:rPr>
      </w:pPr>
    </w:p>
    <w:p w:rsidR="00000000" w:rsidRDefault="00965BDC">
      <w:pPr>
        <w:spacing w:line="240" w:lineRule="atLeast"/>
        <w:jc w:val="both"/>
        <w:rPr>
          <w:rFonts w:ascii="Tahoma" w:hAnsi="Tahoma" w:cs="Tahoma"/>
          <w:sz w:val="18"/>
        </w:rPr>
      </w:pPr>
      <w:r>
        <w:rPr>
          <w:rFonts w:ascii="Tahoma" w:hAnsi="Tahoma" w:cs="Tahoma"/>
          <w:sz w:val="18"/>
        </w:rPr>
        <w:t xml:space="preserve">ml 50 x €/ml 50.10 = € </w:t>
      </w:r>
      <w:r>
        <w:rPr>
          <w:rFonts w:ascii="Tahoma" w:hAnsi="Tahoma" w:cs="Tahoma"/>
          <w:b/>
          <w:sz w:val="18"/>
        </w:rPr>
        <w:t>2504.82</w:t>
      </w:r>
    </w:p>
    <w:p w:rsidR="00000000" w:rsidRDefault="00965BDC">
      <w:pPr>
        <w:spacing w:line="240" w:lineRule="atLeast"/>
        <w:jc w:val="both"/>
        <w:rPr>
          <w:rFonts w:ascii="Tahoma" w:hAnsi="Tahoma" w:cs="Tahoma"/>
          <w:sz w:val="18"/>
        </w:rPr>
      </w:pPr>
    </w:p>
    <w:p w:rsidR="00000000" w:rsidRDefault="00965BDC">
      <w:pPr>
        <w:spacing w:line="240" w:lineRule="atLeast"/>
        <w:jc w:val="both"/>
        <w:rPr>
          <w:rFonts w:ascii="Tahoma" w:hAnsi="Tahoma" w:cs="Tahoma"/>
          <w:sz w:val="18"/>
        </w:rPr>
      </w:pPr>
    </w:p>
    <w:p w:rsidR="00000000" w:rsidRDefault="00965BDC">
      <w:pPr>
        <w:pStyle w:val="1"/>
        <w:rPr>
          <w:rFonts w:ascii="Tahoma" w:hAnsi="Tahoma" w:cs="Tahoma"/>
          <w:sz w:val="18"/>
        </w:rPr>
      </w:pPr>
      <w:r>
        <w:rPr>
          <w:rFonts w:ascii="Tahoma" w:hAnsi="Tahoma" w:cs="Tahoma"/>
          <w:sz w:val="18"/>
        </w:rPr>
        <w:tab/>
        <w:t>-Pozzetto prefabbricato in cemento armato vibrato per raccordo delle fognature</w:t>
      </w:r>
      <w:r>
        <w:rPr>
          <w:rFonts w:ascii="Tahoma" w:hAnsi="Tahoma" w:cs="Tahoma"/>
          <w:sz w:val="18"/>
          <w:u w:val="single"/>
        </w:rPr>
        <w:t>,</w:t>
      </w:r>
      <w:r>
        <w:rPr>
          <w:rFonts w:ascii="Tahoma" w:hAnsi="Tahoma" w:cs="Tahoma"/>
          <w:sz w:val="18"/>
        </w:rPr>
        <w:t xml:space="preserve"> inclusa la frattura dei </w:t>
      </w:r>
      <w:r>
        <w:rPr>
          <w:rFonts w:ascii="Tahoma" w:hAnsi="Tahoma" w:cs="Tahoma"/>
          <w:sz w:val="18"/>
        </w:rPr>
        <w:t>diaframmi per l’innesto delle tubazioni, nonchè la relativa sigillatura con malta di cemento puro, posto in opera anche in presenza di acqua, fino ad un battente di cm 20, completo di massetto di fondazione e di rinfianco in calcestruzzo dosato a q.li 3.00</w:t>
      </w:r>
      <w:r>
        <w:rPr>
          <w:rFonts w:ascii="Tahoma" w:hAnsi="Tahoma" w:cs="Tahoma"/>
          <w:sz w:val="18"/>
        </w:rPr>
        <w:t xml:space="preserve"> di cemento tipo “325“ per mc di impasto, per uno spessore non inferiore a cm 15; compresi oneri per aggottamento dell’acqua, tiro e calo dei materiali, opere provvisionali necessarie ed ogni altro onere e magistero per dare il lavoro finito a regola d’art</w:t>
      </w:r>
      <w:r>
        <w:rPr>
          <w:rFonts w:ascii="Tahoma" w:hAnsi="Tahoma" w:cs="Tahoma"/>
          <w:sz w:val="18"/>
        </w:rPr>
        <w:t>e; sono esclusi gli oneri per la fornitura e posa in opera del chiusino e quelli inerenti allo scavo ed al rinterro, da computarsi a parte.</w:t>
      </w:r>
    </w:p>
    <w:p w:rsidR="00000000" w:rsidRDefault="00965BDC">
      <w:pPr>
        <w:numPr>
          <w:ilvl w:val="0"/>
          <w:numId w:val="2"/>
        </w:numPr>
        <w:spacing w:line="240" w:lineRule="atLeast"/>
        <w:jc w:val="both"/>
        <w:rPr>
          <w:sz w:val="18"/>
        </w:rPr>
      </w:pPr>
      <w:r>
        <w:rPr>
          <w:rFonts w:ascii="Tahoma" w:hAnsi="Tahoma" w:cs="Tahoma"/>
          <w:sz w:val="18"/>
        </w:rPr>
        <w:tab/>
        <w:t>Non diaframmato; dimensioni interne cm 45x45x40</w:t>
      </w:r>
      <w:r>
        <w:rPr>
          <w:rFonts w:ascii="Tahoma" w:hAnsi="Tahoma" w:cs="Tahoma"/>
          <w:sz w:val="18"/>
        </w:rPr>
        <w:tab/>
      </w:r>
    </w:p>
    <w:p w:rsidR="00000000" w:rsidRDefault="00965BDC">
      <w:pPr>
        <w:pStyle w:val="Titolo4"/>
        <w:rPr>
          <w:sz w:val="18"/>
        </w:rPr>
      </w:pPr>
      <w:r>
        <w:rPr>
          <w:sz w:val="18"/>
        </w:rPr>
        <w:tab/>
      </w:r>
      <w:r>
        <w:rPr>
          <w:sz w:val="18"/>
        </w:rPr>
        <w:tab/>
      </w:r>
      <w:r>
        <w:rPr>
          <w:sz w:val="18"/>
        </w:rPr>
        <w:tab/>
      </w:r>
      <w:r>
        <w:rPr>
          <w:sz w:val="18"/>
        </w:rPr>
        <w:tab/>
      </w:r>
      <w:r>
        <w:rPr>
          <w:sz w:val="18"/>
        </w:rPr>
        <w:tab/>
      </w:r>
      <w:r>
        <w:rPr>
          <w:sz w:val="18"/>
        </w:rPr>
        <w:tab/>
      </w:r>
      <w:r>
        <w:rPr>
          <w:sz w:val="18"/>
        </w:rPr>
        <w:tab/>
        <w:t>€/cad</w:t>
      </w:r>
      <w:r>
        <w:rPr>
          <w:sz w:val="18"/>
        </w:rPr>
        <w:tab/>
        <w:t>48.03</w:t>
      </w:r>
    </w:p>
    <w:p w:rsidR="00000000" w:rsidRDefault="00965BDC">
      <w:pPr>
        <w:spacing w:line="240" w:lineRule="atLeast"/>
        <w:jc w:val="both"/>
        <w:rPr>
          <w:rFonts w:ascii="Tahoma" w:hAnsi="Tahoma" w:cs="Tahoma"/>
          <w:sz w:val="18"/>
        </w:rPr>
      </w:pPr>
    </w:p>
    <w:p w:rsidR="00000000" w:rsidRDefault="00965BDC">
      <w:pPr>
        <w:spacing w:line="240" w:lineRule="atLeast"/>
        <w:jc w:val="both"/>
        <w:rPr>
          <w:rFonts w:ascii="Tahoma" w:hAnsi="Tahoma" w:cs="Tahoma"/>
          <w:sz w:val="18"/>
        </w:rPr>
      </w:pPr>
      <w:r>
        <w:rPr>
          <w:rFonts w:ascii="Tahoma" w:hAnsi="Tahoma" w:cs="Tahoma"/>
          <w:sz w:val="18"/>
        </w:rPr>
        <w:t xml:space="preserve">N°3 x 48.03 = </w:t>
      </w:r>
      <w:r>
        <w:rPr>
          <w:rFonts w:ascii="Tahoma" w:hAnsi="Tahoma" w:cs="Tahoma"/>
          <w:b/>
          <w:sz w:val="18"/>
        </w:rPr>
        <w:t>144.09</w:t>
      </w:r>
    </w:p>
    <w:p w:rsidR="00000000" w:rsidRDefault="00965BDC">
      <w:pPr>
        <w:spacing w:line="240" w:lineRule="atLeast"/>
        <w:jc w:val="both"/>
        <w:rPr>
          <w:rFonts w:ascii="Tahoma" w:hAnsi="Tahoma" w:cs="Tahoma"/>
          <w:sz w:val="18"/>
        </w:rPr>
      </w:pPr>
    </w:p>
    <w:p w:rsidR="00000000" w:rsidRDefault="00965BDC">
      <w:pPr>
        <w:spacing w:line="240" w:lineRule="atLeast"/>
        <w:jc w:val="both"/>
        <w:rPr>
          <w:rFonts w:ascii="Tahoma" w:hAnsi="Tahoma" w:cs="Tahoma"/>
          <w:sz w:val="18"/>
        </w:rPr>
      </w:pPr>
    </w:p>
    <w:p w:rsidR="00000000" w:rsidRDefault="00965BDC">
      <w:pPr>
        <w:numPr>
          <w:ilvl w:val="0"/>
          <w:numId w:val="2"/>
        </w:numPr>
        <w:spacing w:line="240" w:lineRule="atLeast"/>
        <w:ind w:right="2435"/>
        <w:jc w:val="both"/>
        <w:rPr>
          <w:rFonts w:ascii="Tahoma" w:hAnsi="Tahoma" w:cs="Tahoma"/>
          <w:sz w:val="18"/>
        </w:rPr>
      </w:pPr>
      <w:r>
        <w:rPr>
          <w:rFonts w:ascii="Tahoma" w:hAnsi="Tahoma" w:cs="Tahoma"/>
          <w:sz w:val="18"/>
        </w:rPr>
        <w:t>11.1.15</w:t>
      </w:r>
      <w:r>
        <w:rPr>
          <w:rFonts w:ascii="Tahoma" w:hAnsi="Tahoma" w:cs="Tahoma"/>
          <w:sz w:val="18"/>
        </w:rPr>
        <w:tab/>
        <w:t>Fornitura e pos</w:t>
      </w:r>
      <w:r>
        <w:rPr>
          <w:rFonts w:ascii="Tahoma" w:hAnsi="Tahoma" w:cs="Tahoma"/>
          <w:sz w:val="18"/>
        </w:rPr>
        <w:t>a in opera di chiusini in ghisa sferoidale per pozzetti di raccordo delle fognature, con caratteristiche rispondenti alle indicazioni UNI, alloggiati su controtelai in ferro angolare, fissati ai pozzetti, con passo d’uomo da mm 600, completi di attrezzatur</w:t>
      </w:r>
      <w:r>
        <w:rPr>
          <w:rFonts w:ascii="Tahoma" w:hAnsi="Tahoma" w:cs="Tahoma"/>
          <w:sz w:val="18"/>
        </w:rPr>
        <w:t>a per il sollevamento e l’eventuale bloccaggio al controtelaio con apposita chiave; compresi oneri per opere murarie, tiro e calo dei materiali, opere provvisionali necessarie ed ogni altro onere e magistero per dare il lavoro finito a regola d’arte.</w:t>
      </w:r>
      <w:r>
        <w:rPr>
          <w:rFonts w:ascii="Tahoma" w:hAnsi="Tahoma" w:cs="Tahoma"/>
          <w:sz w:val="18"/>
        </w:rPr>
        <w:tab/>
      </w:r>
      <w:r>
        <w:rPr>
          <w:rFonts w:ascii="Tahoma" w:hAnsi="Tahoma" w:cs="Tahoma"/>
          <w:sz w:val="18"/>
        </w:rPr>
        <w:tab/>
      </w:r>
      <w:r>
        <w:rPr>
          <w:rFonts w:ascii="Tahoma" w:hAnsi="Tahoma" w:cs="Tahoma"/>
          <w:sz w:val="18"/>
        </w:rPr>
        <w:tab/>
      </w:r>
      <w:r>
        <w:rPr>
          <w:rFonts w:ascii="Tahoma" w:hAnsi="Tahoma" w:cs="Tahoma"/>
          <w:sz w:val="18"/>
        </w:rPr>
        <w:tab/>
      </w:r>
      <w:r>
        <w:rPr>
          <w:rFonts w:ascii="Tahoma" w:hAnsi="Tahoma" w:cs="Tahoma"/>
          <w:sz w:val="18"/>
        </w:rPr>
        <w:tab/>
      </w:r>
      <w:r>
        <w:rPr>
          <w:rFonts w:ascii="Tahoma" w:hAnsi="Tahoma" w:cs="Tahoma"/>
          <w:sz w:val="18"/>
        </w:rPr>
        <w:tab/>
      </w:r>
      <w:r>
        <w:rPr>
          <w:rFonts w:ascii="Tahoma" w:hAnsi="Tahoma" w:cs="Tahoma"/>
          <w:sz w:val="18"/>
        </w:rPr>
        <w:tab/>
      </w:r>
      <w:r>
        <w:rPr>
          <w:rFonts w:ascii="Tahoma" w:hAnsi="Tahoma" w:cs="Tahoma"/>
          <w:sz w:val="18"/>
        </w:rPr>
        <w:tab/>
      </w:r>
      <w:r>
        <w:rPr>
          <w:rFonts w:ascii="Tahoma" w:hAnsi="Tahoma" w:cs="Tahoma"/>
          <w:sz w:val="18"/>
        </w:rPr>
        <w:tab/>
      </w:r>
      <w:r>
        <w:rPr>
          <w:rFonts w:ascii="Tahoma" w:hAnsi="Tahoma" w:cs="Tahoma"/>
          <w:sz w:val="18"/>
        </w:rPr>
        <w:tab/>
      </w:r>
      <w:r>
        <w:rPr>
          <w:rFonts w:ascii="Tahoma" w:hAnsi="Tahoma" w:cs="Tahoma"/>
          <w:sz w:val="18"/>
        </w:rPr>
        <w:tab/>
      </w:r>
      <w:r>
        <w:rPr>
          <w:rFonts w:ascii="Tahoma" w:hAnsi="Tahoma" w:cs="Tahoma"/>
          <w:sz w:val="18"/>
        </w:rPr>
        <w:tab/>
      </w:r>
      <w:r>
        <w:rPr>
          <w:rFonts w:ascii="Tahoma" w:hAnsi="Tahoma" w:cs="Tahoma"/>
          <w:sz w:val="18"/>
        </w:rPr>
        <w:tab/>
        <w:t>€/kg</w:t>
      </w:r>
      <w:r>
        <w:rPr>
          <w:rFonts w:ascii="Tahoma" w:hAnsi="Tahoma" w:cs="Tahoma"/>
          <w:sz w:val="18"/>
        </w:rPr>
        <w:tab/>
        <w:t>2.94</w:t>
      </w:r>
    </w:p>
    <w:p w:rsidR="00000000" w:rsidRDefault="00965BDC">
      <w:pPr>
        <w:spacing w:line="240" w:lineRule="atLeast"/>
        <w:ind w:right="2435"/>
        <w:jc w:val="both"/>
        <w:rPr>
          <w:rFonts w:ascii="Tahoma" w:hAnsi="Tahoma" w:cs="Tahoma"/>
          <w:sz w:val="18"/>
        </w:rPr>
      </w:pPr>
    </w:p>
    <w:p w:rsidR="00000000" w:rsidRDefault="00965BDC">
      <w:pPr>
        <w:spacing w:line="240" w:lineRule="atLeast"/>
        <w:ind w:right="2435"/>
        <w:jc w:val="both"/>
        <w:rPr>
          <w:rFonts w:ascii="Tahoma" w:hAnsi="Tahoma" w:cs="Tahoma"/>
          <w:sz w:val="18"/>
        </w:rPr>
      </w:pPr>
      <w:r>
        <w:rPr>
          <w:rFonts w:ascii="Tahoma" w:hAnsi="Tahoma" w:cs="Tahoma"/>
          <w:sz w:val="18"/>
        </w:rPr>
        <w:t xml:space="preserve">numero 3 x 50kg/cad x €/kg 2.94 =€ </w:t>
      </w:r>
      <w:r>
        <w:rPr>
          <w:rFonts w:ascii="Tahoma" w:hAnsi="Tahoma" w:cs="Tahoma"/>
          <w:b/>
          <w:sz w:val="18"/>
        </w:rPr>
        <w:t>441.00</w:t>
      </w:r>
    </w:p>
    <w:p w:rsidR="00000000" w:rsidRDefault="00965BDC">
      <w:pPr>
        <w:spacing w:line="240" w:lineRule="atLeast"/>
        <w:jc w:val="both"/>
        <w:rPr>
          <w:rFonts w:ascii="Tahoma" w:hAnsi="Tahoma" w:cs="Tahoma"/>
          <w:sz w:val="18"/>
        </w:rPr>
      </w:pPr>
    </w:p>
    <w:p w:rsidR="00000000" w:rsidRDefault="00965BDC">
      <w:pPr>
        <w:spacing w:line="240" w:lineRule="atLeast"/>
        <w:jc w:val="both"/>
        <w:rPr>
          <w:rFonts w:ascii="Tahoma" w:hAnsi="Tahoma" w:cs="Tahoma"/>
          <w:sz w:val="18"/>
        </w:rPr>
      </w:pPr>
    </w:p>
    <w:p w:rsidR="00000000" w:rsidRDefault="00965BDC">
      <w:pPr>
        <w:spacing w:line="240" w:lineRule="atLeast"/>
        <w:jc w:val="both"/>
      </w:pPr>
      <w:r>
        <w:rPr>
          <w:rFonts w:ascii="Tahoma" w:hAnsi="Tahoma" w:cs="Tahoma"/>
          <w:sz w:val="28"/>
        </w:rPr>
        <w:t>Totale a base d’asta  € 10211,85</w:t>
      </w:r>
    </w:p>
    <w:p w:rsidR="00000000" w:rsidRDefault="00965BDC">
      <w:pPr>
        <w:pStyle w:val="Titolo4"/>
        <w:rPr>
          <w:sz w:val="18"/>
        </w:rPr>
      </w:pPr>
      <w:r>
        <w:t>Totale iva 10 % compresa € 11233,04</w:t>
      </w:r>
    </w:p>
    <w:p w:rsidR="00000000" w:rsidRDefault="00965BDC">
      <w:pPr>
        <w:rPr>
          <w:sz w:val="18"/>
        </w:rPr>
      </w:pPr>
    </w:p>
    <w:p w:rsidR="00000000" w:rsidRDefault="00965BDC">
      <w:pPr>
        <w:numPr>
          <w:ilvl w:val="0"/>
          <w:numId w:val="5"/>
        </w:numPr>
        <w:spacing w:line="240" w:lineRule="atLeast"/>
        <w:jc w:val="both"/>
        <w:rPr>
          <w:rFonts w:ascii="Comic Sans MS" w:hAnsi="Comic Sans MS" w:cs="Comic Sans MS"/>
          <w:sz w:val="18"/>
        </w:rPr>
      </w:pPr>
      <w:r>
        <w:rPr>
          <w:rFonts w:ascii="Comic Sans MS" w:hAnsi="Comic Sans MS" w:cs="Comic Sans MS"/>
          <w:b/>
          <w:sz w:val="18"/>
        </w:rPr>
        <w:t>SPESE TECNICHE</w:t>
      </w:r>
    </w:p>
    <w:p w:rsidR="00000000" w:rsidRDefault="00965BDC">
      <w:pPr>
        <w:numPr>
          <w:ilvl w:val="0"/>
          <w:numId w:val="3"/>
        </w:numPr>
        <w:spacing w:line="240" w:lineRule="atLeast"/>
        <w:jc w:val="both"/>
        <w:rPr>
          <w:rFonts w:ascii="Comic Sans MS" w:hAnsi="Comic Sans MS" w:cs="Comic Sans MS"/>
          <w:sz w:val="18"/>
        </w:rPr>
      </w:pPr>
      <w:r>
        <w:rPr>
          <w:rFonts w:ascii="Comic Sans MS" w:hAnsi="Comic Sans MS" w:cs="Comic Sans MS"/>
          <w:sz w:val="18"/>
        </w:rPr>
        <w:t>Progettazione e d.l. (Tecnico Comunale)</w:t>
      </w:r>
    </w:p>
    <w:p w:rsidR="00000000" w:rsidRDefault="00965BDC">
      <w:pPr>
        <w:numPr>
          <w:ilvl w:val="0"/>
          <w:numId w:val="6"/>
        </w:numPr>
        <w:spacing w:line="240" w:lineRule="atLeast"/>
        <w:jc w:val="both"/>
        <w:rPr>
          <w:rFonts w:ascii="Comic Sans MS" w:hAnsi="Comic Sans MS" w:cs="Comic Sans MS"/>
          <w:sz w:val="18"/>
        </w:rPr>
      </w:pPr>
      <w:r>
        <w:rPr>
          <w:rFonts w:ascii="Comic Sans MS" w:hAnsi="Comic Sans MS" w:cs="Comic Sans MS"/>
          <w:sz w:val="18"/>
        </w:rPr>
        <w:t>Progettazione e d.l. nette (1,5%) euro</w:t>
      </w:r>
      <w:r>
        <w:rPr>
          <w:rFonts w:ascii="Comic Sans MS" w:hAnsi="Comic Sans MS" w:cs="Comic Sans MS"/>
          <w:sz w:val="18"/>
        </w:rPr>
        <w:tab/>
      </w:r>
      <w:r>
        <w:rPr>
          <w:rFonts w:ascii="Comic Sans MS" w:hAnsi="Comic Sans MS" w:cs="Comic Sans MS"/>
          <w:sz w:val="18"/>
        </w:rPr>
        <w:tab/>
      </w:r>
      <w:r>
        <w:rPr>
          <w:rFonts w:ascii="Comic Sans MS" w:hAnsi="Comic Sans MS" w:cs="Comic Sans MS"/>
          <w:b/>
          <w:sz w:val="18"/>
        </w:rPr>
        <w:t>153,18</w:t>
      </w:r>
    </w:p>
    <w:p w:rsidR="00000000" w:rsidRDefault="00965BDC">
      <w:pPr>
        <w:numPr>
          <w:ilvl w:val="0"/>
          <w:numId w:val="6"/>
        </w:numPr>
        <w:spacing w:line="240" w:lineRule="atLeast"/>
        <w:jc w:val="both"/>
        <w:rPr>
          <w:rFonts w:ascii="Comic Sans MS" w:hAnsi="Comic Sans MS" w:cs="Comic Sans MS"/>
          <w:sz w:val="18"/>
        </w:rPr>
      </w:pPr>
      <w:r>
        <w:rPr>
          <w:rFonts w:ascii="Comic Sans MS" w:hAnsi="Comic Sans MS" w:cs="Comic Sans MS"/>
          <w:sz w:val="18"/>
        </w:rPr>
        <w:t>Ritenuta (20%) euro</w:t>
      </w:r>
      <w:r>
        <w:rPr>
          <w:rFonts w:ascii="Comic Sans MS" w:hAnsi="Comic Sans MS" w:cs="Comic Sans MS"/>
          <w:sz w:val="18"/>
        </w:rPr>
        <w:tab/>
      </w:r>
      <w:r>
        <w:rPr>
          <w:rFonts w:ascii="Comic Sans MS" w:hAnsi="Comic Sans MS" w:cs="Comic Sans MS"/>
          <w:sz w:val="18"/>
        </w:rPr>
        <w:tab/>
      </w:r>
      <w:r>
        <w:rPr>
          <w:rFonts w:ascii="Comic Sans MS" w:hAnsi="Comic Sans MS" w:cs="Comic Sans MS"/>
          <w:sz w:val="18"/>
        </w:rPr>
        <w:tab/>
      </w:r>
      <w:r>
        <w:rPr>
          <w:rFonts w:ascii="Comic Sans MS" w:hAnsi="Comic Sans MS" w:cs="Comic Sans MS"/>
          <w:sz w:val="18"/>
        </w:rPr>
        <w:tab/>
      </w:r>
      <w:r>
        <w:rPr>
          <w:rFonts w:ascii="Comic Sans MS" w:hAnsi="Comic Sans MS" w:cs="Comic Sans MS"/>
          <w:b/>
          <w:sz w:val="18"/>
        </w:rPr>
        <w:t>30,64</w:t>
      </w:r>
    </w:p>
    <w:p w:rsidR="00000000" w:rsidRDefault="00965BDC">
      <w:pPr>
        <w:spacing w:line="240" w:lineRule="atLeast"/>
        <w:jc w:val="both"/>
        <w:rPr>
          <w:rFonts w:ascii="Comic Sans MS" w:hAnsi="Comic Sans MS" w:cs="Comic Sans MS"/>
          <w:sz w:val="18"/>
        </w:rPr>
      </w:pPr>
    </w:p>
    <w:p w:rsidR="00000000" w:rsidRDefault="00965BDC">
      <w:pPr>
        <w:spacing w:line="240" w:lineRule="atLeast"/>
        <w:jc w:val="both"/>
      </w:pPr>
      <w:r>
        <w:rPr>
          <w:rFonts w:ascii="Comic Sans MS" w:hAnsi="Comic Sans MS" w:cs="Comic Sans MS"/>
          <w:sz w:val="18"/>
        </w:rPr>
        <w:tab/>
      </w:r>
      <w:r>
        <w:rPr>
          <w:rFonts w:ascii="Comic Sans MS" w:hAnsi="Comic Sans MS" w:cs="Comic Sans MS"/>
          <w:b/>
          <w:sz w:val="18"/>
        </w:rPr>
        <w:t>Totale progettazione e d.l. euro</w:t>
      </w:r>
      <w:r>
        <w:rPr>
          <w:rFonts w:ascii="Comic Sans MS" w:hAnsi="Comic Sans MS" w:cs="Comic Sans MS"/>
          <w:b/>
          <w:sz w:val="18"/>
        </w:rPr>
        <w:tab/>
        <w:t xml:space="preserve">       </w:t>
      </w:r>
      <w:r>
        <w:rPr>
          <w:rFonts w:ascii="Comic Sans MS" w:hAnsi="Comic Sans MS" w:cs="Comic Sans MS"/>
          <w:b/>
          <w:sz w:val="18"/>
        </w:rPr>
        <w:tab/>
      </w:r>
      <w:r>
        <w:rPr>
          <w:rFonts w:ascii="Comic Sans MS" w:hAnsi="Comic Sans MS" w:cs="Comic Sans MS"/>
          <w:b/>
          <w:sz w:val="18"/>
        </w:rPr>
        <w:tab/>
      </w:r>
      <w:r>
        <w:rPr>
          <w:rFonts w:ascii="Comic Sans MS" w:hAnsi="Comic Sans MS" w:cs="Comic Sans MS"/>
          <w:b/>
          <w:sz w:val="18"/>
          <w:u w:val="single"/>
        </w:rPr>
        <w:t>183,82</w:t>
      </w:r>
    </w:p>
    <w:p w:rsidR="00000000" w:rsidRDefault="00965BDC">
      <w:pPr>
        <w:pStyle w:val="Titolo5"/>
        <w:rPr>
          <w:sz w:val="18"/>
        </w:rPr>
      </w:pPr>
      <w:r>
        <w:t xml:space="preserve">Importo generale complessivo dell’opera </w:t>
      </w:r>
      <w:r>
        <w:tab/>
      </w:r>
      <w:r>
        <w:tab/>
        <w:t>11416,86</w:t>
      </w:r>
    </w:p>
    <w:p w:rsidR="00000000" w:rsidRDefault="00965BDC">
      <w:pPr>
        <w:spacing w:line="240" w:lineRule="atLeast"/>
        <w:jc w:val="right"/>
        <w:rPr>
          <w:i/>
          <w:sz w:val="18"/>
        </w:rPr>
      </w:pPr>
    </w:p>
    <w:p w:rsidR="00000000" w:rsidRDefault="00965BDC">
      <w:pPr>
        <w:spacing w:line="240" w:lineRule="atLeast"/>
        <w:jc w:val="right"/>
        <w:rPr>
          <w:i/>
          <w:sz w:val="18"/>
        </w:rPr>
      </w:pPr>
      <w:r>
        <w:rPr>
          <w:i/>
          <w:sz w:val="18"/>
        </w:rPr>
        <w:t>Il tecnico c.le</w:t>
      </w:r>
    </w:p>
    <w:p w:rsidR="00000000" w:rsidRDefault="00965BDC">
      <w:pPr>
        <w:pStyle w:val="Titolo1"/>
        <w:rPr>
          <w:i/>
          <w:sz w:val="18"/>
        </w:rPr>
      </w:pPr>
      <w:r>
        <w:rPr>
          <w:i/>
          <w:sz w:val="18"/>
        </w:rPr>
        <w:t xml:space="preserve">Massimiliano Gianformaggio </w:t>
      </w:r>
    </w:p>
    <w:p w:rsidR="00000000" w:rsidRDefault="00965BDC">
      <w:pPr>
        <w:spacing w:line="240" w:lineRule="atLeast"/>
        <w:jc w:val="right"/>
      </w:pPr>
      <w:r>
        <w:rPr>
          <w:i/>
          <w:sz w:val="18"/>
        </w:rPr>
        <w:t xml:space="preserve"> </w:t>
      </w:r>
    </w:p>
    <w:sectPr w:rsidR="00000000">
      <w:pgSz w:w="11906" w:h="16838"/>
      <w:pgMar w:top="993" w:right="1474" w:bottom="1441" w:left="1474" w:header="720" w:footer="720" w:gutter="0"/>
      <w:cols w:space="720"/>
      <w:docGrid w:linePitch="600" w:charSpace="409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Botanical">
    <w:altName w:val="Symbol"/>
    <w:charset w:val="02"/>
    <w:family w:val="auto"/>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
    <w:lvl w:ilvl="0">
      <w:start w:val="3"/>
      <w:numFmt w:val="bullet"/>
      <w:lvlText w:val="-"/>
      <w:lvlJc w:val="left"/>
      <w:pPr>
        <w:tabs>
          <w:tab w:val="num" w:pos="644"/>
        </w:tabs>
        <w:ind w:left="624" w:hanging="340"/>
      </w:pPr>
      <w:rPr>
        <w:rFonts w:ascii="Times New Roman" w:hAnsi="Times New Roman" w:cs="Tahoma" w:hint="default"/>
        <w:sz w:val="18"/>
      </w:rPr>
    </w:lvl>
  </w:abstractNum>
  <w:abstractNum w:abstractNumId="2">
    <w:nsid w:val="00000003"/>
    <w:multiLevelType w:val="singleLevel"/>
    <w:tmpl w:val="00000003"/>
    <w:name w:val="WW8Num2"/>
    <w:lvl w:ilvl="0">
      <w:start w:val="1"/>
      <w:numFmt w:val="lowerLetter"/>
      <w:lvlText w:val="%1)"/>
      <w:lvlJc w:val="left"/>
      <w:pPr>
        <w:tabs>
          <w:tab w:val="num" w:pos="644"/>
        </w:tabs>
        <w:ind w:left="624" w:hanging="340"/>
      </w:pPr>
      <w:rPr>
        <w:rFonts w:ascii="Comic Sans MS" w:hAnsi="Comic Sans MS" w:cs="Comic Sans MS" w:hint="default"/>
        <w:sz w:val="20"/>
      </w:rPr>
    </w:lvl>
  </w:abstractNum>
  <w:abstractNum w:abstractNumId="3">
    <w:nsid w:val="00000004"/>
    <w:multiLevelType w:val="singleLevel"/>
    <w:tmpl w:val="00000004"/>
    <w:name w:val="WW8Num3"/>
    <w:lvl w:ilvl="0">
      <w:start w:val="3"/>
      <w:numFmt w:val="bullet"/>
      <w:lvlText w:val=""/>
      <w:lvlJc w:val="left"/>
      <w:pPr>
        <w:tabs>
          <w:tab w:val="num" w:pos="360"/>
        </w:tabs>
        <w:ind w:left="340" w:hanging="340"/>
      </w:pPr>
      <w:rPr>
        <w:rFonts w:ascii="Wingdings" w:hAnsi="Wingdings" w:cs="Wingdings" w:hint="default"/>
        <w:sz w:val="18"/>
      </w:rPr>
    </w:lvl>
  </w:abstractNum>
  <w:abstractNum w:abstractNumId="4">
    <w:nsid w:val="00000005"/>
    <w:multiLevelType w:val="singleLevel"/>
    <w:tmpl w:val="00000005"/>
    <w:name w:val="WW8Num4"/>
    <w:lvl w:ilvl="0">
      <w:start w:val="1"/>
      <w:numFmt w:val="bullet"/>
      <w:lvlText w:val=""/>
      <w:lvlJc w:val="left"/>
      <w:pPr>
        <w:tabs>
          <w:tab w:val="num" w:pos="360"/>
        </w:tabs>
        <w:ind w:left="340" w:hanging="340"/>
      </w:pPr>
      <w:rPr>
        <w:rFonts w:ascii="Wingdings" w:hAnsi="Wingdings" w:cs="Wingdings" w:hint="default"/>
      </w:rPr>
    </w:lvl>
  </w:abstractNum>
  <w:abstractNum w:abstractNumId="5">
    <w:nsid w:val="00000006"/>
    <w:multiLevelType w:val="singleLevel"/>
    <w:tmpl w:val="00000006"/>
    <w:name w:val="WW8Num6"/>
    <w:lvl w:ilvl="0">
      <w:start w:val="1"/>
      <w:numFmt w:val="bullet"/>
      <w:lvlText w:val=""/>
      <w:lvlJc w:val="left"/>
      <w:pPr>
        <w:tabs>
          <w:tab w:val="num" w:pos="927"/>
        </w:tabs>
        <w:ind w:left="907" w:hanging="340"/>
      </w:pPr>
      <w:rPr>
        <w:rFonts w:ascii="Symbol" w:hAnsi="Symbol" w:cs="Symbol" w:hint="default"/>
        <w:sz w:val="18"/>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adjustLineHeightInTable/>
  </w:compat>
  <w:rsids>
    <w:rsidRoot w:val="00965BDC"/>
    <w:rsid w:val="00965BD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pPr>
    <w:rPr>
      <w:lang w:eastAsia="ar-SA"/>
    </w:rPr>
  </w:style>
  <w:style w:type="paragraph" w:styleId="Titolo1">
    <w:name w:val="heading 1"/>
    <w:basedOn w:val="Normale"/>
    <w:next w:val="Normale"/>
    <w:qFormat/>
    <w:pPr>
      <w:keepNext/>
      <w:numPr>
        <w:numId w:val="1"/>
      </w:numPr>
      <w:spacing w:line="240" w:lineRule="atLeast"/>
      <w:jc w:val="right"/>
      <w:outlineLvl w:val="0"/>
    </w:pPr>
    <w:rPr>
      <w:rFonts w:ascii="Comic Sans MS" w:hAnsi="Comic Sans MS" w:cs="Comic Sans MS"/>
      <w:sz w:val="24"/>
    </w:rPr>
  </w:style>
  <w:style w:type="paragraph" w:styleId="Titolo2">
    <w:name w:val="heading 2"/>
    <w:basedOn w:val="Normale"/>
    <w:next w:val="Normale"/>
    <w:qFormat/>
    <w:pPr>
      <w:keepNext/>
      <w:numPr>
        <w:ilvl w:val="1"/>
        <w:numId w:val="1"/>
      </w:numPr>
      <w:outlineLvl w:val="1"/>
    </w:pPr>
    <w:rPr>
      <w:rFonts w:ascii="Comic Sans MS" w:hAnsi="Comic Sans MS" w:cs="Comic Sans MS"/>
      <w:b/>
      <w:bCs/>
      <w:i/>
      <w:sz w:val="28"/>
    </w:rPr>
  </w:style>
  <w:style w:type="paragraph" w:styleId="Titolo3">
    <w:name w:val="heading 3"/>
    <w:basedOn w:val="Normale"/>
    <w:next w:val="Normale"/>
    <w:qFormat/>
    <w:pPr>
      <w:keepNext/>
      <w:numPr>
        <w:ilvl w:val="2"/>
        <w:numId w:val="1"/>
      </w:numPr>
      <w:spacing w:line="240" w:lineRule="atLeast"/>
      <w:jc w:val="center"/>
      <w:outlineLvl w:val="2"/>
    </w:pPr>
    <w:rPr>
      <w:rFonts w:ascii="Tahoma" w:hAnsi="Tahoma" w:cs="Tahoma"/>
      <w:sz w:val="28"/>
    </w:rPr>
  </w:style>
  <w:style w:type="paragraph" w:styleId="Titolo4">
    <w:name w:val="heading 4"/>
    <w:basedOn w:val="Normale"/>
    <w:next w:val="Normale"/>
    <w:qFormat/>
    <w:pPr>
      <w:keepNext/>
      <w:numPr>
        <w:ilvl w:val="3"/>
        <w:numId w:val="1"/>
      </w:numPr>
      <w:spacing w:line="240" w:lineRule="atLeast"/>
      <w:jc w:val="both"/>
      <w:outlineLvl w:val="3"/>
    </w:pPr>
    <w:rPr>
      <w:rFonts w:ascii="Tahoma" w:hAnsi="Tahoma" w:cs="Tahoma"/>
      <w:sz w:val="28"/>
    </w:rPr>
  </w:style>
  <w:style w:type="paragraph" w:styleId="Titolo5">
    <w:name w:val="heading 5"/>
    <w:basedOn w:val="Normale"/>
    <w:next w:val="Normale"/>
    <w:qFormat/>
    <w:pPr>
      <w:keepNext/>
      <w:numPr>
        <w:ilvl w:val="4"/>
        <w:numId w:val="1"/>
      </w:numPr>
      <w:spacing w:line="240" w:lineRule="atLeast"/>
      <w:jc w:val="both"/>
      <w:outlineLvl w:val="4"/>
    </w:pPr>
    <w:rPr>
      <w:b/>
      <w:bCs/>
      <w:i/>
      <w:iCs/>
      <w:sz w:val="24"/>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Tahoma" w:hAnsi="Tahoma" w:cs="Tahoma" w:hint="default"/>
      <w:sz w:val="18"/>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2z0">
    <w:name w:val="WW8Num2z0"/>
    <w:rPr>
      <w:rFonts w:ascii="Comic Sans MS" w:hAnsi="Comic Sans MS" w:cs="Comic Sans MS" w:hint="default"/>
      <w:sz w:val="20"/>
    </w:rPr>
  </w:style>
  <w:style w:type="character" w:customStyle="1" w:styleId="WW8Num2z1">
    <w:name w:val="WW8Num2z1"/>
    <w:rPr>
      <w:rFonts w:ascii="Tahoma" w:hAnsi="Tahoma" w:cs="Tahoma"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2z4">
    <w:name w:val="WW8Num2z4"/>
    <w:rPr>
      <w:rFonts w:ascii="Courier New" w:hAnsi="Courier New" w:cs="Courier New" w:hint="default"/>
    </w:rPr>
  </w:style>
  <w:style w:type="character" w:customStyle="1" w:styleId="WW8Num3z0">
    <w:name w:val="WW8Num3z0"/>
    <w:rPr>
      <w:rFonts w:ascii="Wingdings" w:hAnsi="Wingdings" w:cs="Wingdings" w:hint="default"/>
      <w:sz w:val="18"/>
    </w:rPr>
  </w:style>
  <w:style w:type="character" w:customStyle="1" w:styleId="WW8Num3z1">
    <w:name w:val="WW8Num3z1"/>
    <w:rPr>
      <w:rFonts w:ascii="Courier New" w:hAnsi="Courier New" w:cs="Courier New" w:hint="default"/>
    </w:rPr>
  </w:style>
  <w:style w:type="character" w:customStyle="1" w:styleId="WW8Num3z3">
    <w:name w:val="WW8Num3z3"/>
    <w:rPr>
      <w:rFonts w:ascii="Symbol" w:hAnsi="Symbol" w:cs="Symbol" w:hint="default"/>
    </w:rPr>
  </w:style>
  <w:style w:type="character" w:customStyle="1" w:styleId="WW8Num4z0">
    <w:name w:val="WW8Num4z0"/>
    <w:rPr>
      <w:rFonts w:ascii="Wingdings" w:hAnsi="Wingdings" w:cs="Wingdings" w:hint="default"/>
    </w:rPr>
  </w:style>
  <w:style w:type="character" w:customStyle="1" w:styleId="WW8Num4z1">
    <w:name w:val="WW8Num4z1"/>
    <w:rPr>
      <w:rFonts w:ascii="Tahoma" w:hAnsi="Tahoma" w:cs="Tahoma" w:hint="default"/>
    </w:rPr>
  </w:style>
  <w:style w:type="character" w:customStyle="1" w:styleId="WW8Num4z3">
    <w:name w:val="WW8Num4z3"/>
    <w:rPr>
      <w:rFonts w:ascii="Symbol" w:hAnsi="Symbol" w:cs="Symbol" w:hint="default"/>
    </w:rPr>
  </w:style>
  <w:style w:type="character" w:customStyle="1" w:styleId="WW8Num4z4">
    <w:name w:val="WW8Num4z4"/>
    <w:rPr>
      <w:rFonts w:ascii="Courier New" w:hAnsi="Courier New" w:cs="Courier New" w:hint="default"/>
    </w:rPr>
  </w:style>
  <w:style w:type="character" w:customStyle="1" w:styleId="WW8Num5z0">
    <w:name w:val="WW8Num5z0"/>
    <w:rPr>
      <w:rFonts w:ascii="Times New Roman" w:eastAsia="Times New Roman" w:hAnsi="Times New Roman" w:cs="Times New Roman"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Symbol" w:hAnsi="Symbol" w:cs="Symbol" w:hint="default"/>
      <w:sz w:val="18"/>
    </w:rPr>
  </w:style>
  <w:style w:type="character" w:customStyle="1" w:styleId="WW8Num6z1">
    <w:name w:val="WW8Num6z1"/>
    <w:rPr>
      <w:rFonts w:ascii="Tahoma" w:hAnsi="Tahoma" w:cs="Tahoma" w:hint="default"/>
    </w:rPr>
  </w:style>
  <w:style w:type="character" w:customStyle="1" w:styleId="WW8Num6z2">
    <w:name w:val="WW8Num6z2"/>
    <w:rPr>
      <w:rFonts w:ascii="Wingdings" w:hAnsi="Wingdings" w:cs="Wingdings" w:hint="default"/>
    </w:rPr>
  </w:style>
  <w:style w:type="character" w:customStyle="1" w:styleId="WW8Num6z4">
    <w:name w:val="WW8Num6z4"/>
    <w:rPr>
      <w:rFonts w:ascii="Courier New" w:hAnsi="Courier New" w:cs="Courier New" w:hint="default"/>
    </w:rPr>
  </w:style>
  <w:style w:type="character" w:customStyle="1" w:styleId="Caratterepredefinitoparagrafo">
    <w:name w:val="Carattere predefinito paragrafo"/>
  </w:style>
  <w:style w:type="character" w:styleId="Collegamentoipertestuale">
    <w:name w:val="Hyperlink"/>
    <w:basedOn w:val="Caratterepredefinitoparagrafo"/>
    <w:rPr>
      <w:color w:val="0000FF"/>
      <w:u w:val="single"/>
    </w:rPr>
  </w:style>
  <w:style w:type="paragraph" w:customStyle="1" w:styleId="Heading">
    <w:name w:val="Heading"/>
    <w:basedOn w:val="Normale"/>
    <w:next w:val="Corpodeltesto"/>
    <w:pPr>
      <w:keepNext/>
      <w:spacing w:before="240" w:after="120"/>
    </w:pPr>
    <w:rPr>
      <w:rFonts w:ascii="Arial" w:eastAsia="Microsoft YaHei" w:hAnsi="Arial" w:cs="Mangal"/>
      <w:sz w:val="28"/>
      <w:szCs w:val="28"/>
    </w:rPr>
  </w:style>
  <w:style w:type="paragraph" w:styleId="Corpodeltesto">
    <w:name w:val="Body Text"/>
    <w:basedOn w:val="Normale"/>
    <w:pPr>
      <w:spacing w:line="240" w:lineRule="atLeast"/>
      <w:jc w:val="both"/>
    </w:pPr>
    <w:rPr>
      <w:rFonts w:ascii="Tahoma" w:hAnsi="Tahoma" w:cs="Tahoma"/>
      <w:sz w:val="28"/>
    </w:rPr>
  </w:style>
  <w:style w:type="paragraph" w:styleId="Elenco">
    <w:name w:val="List"/>
    <w:basedOn w:val="Corpodeltesto"/>
    <w:rPr>
      <w:rFonts w:cs="Mangal"/>
    </w:rPr>
  </w:style>
  <w:style w:type="paragraph" w:customStyle="1" w:styleId="Caption">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customStyle="1" w:styleId="a">
    <w:name w:val="a)"/>
    <w:basedOn w:val="Normale"/>
    <w:pPr>
      <w:tabs>
        <w:tab w:val="left" w:pos="7797"/>
        <w:tab w:val="right" w:pos="9639"/>
      </w:tabs>
      <w:autoSpaceDE w:val="0"/>
      <w:ind w:left="851" w:right="2500"/>
      <w:jc w:val="both"/>
    </w:pPr>
    <w:rPr>
      <w:sz w:val="22"/>
      <w:szCs w:val="22"/>
    </w:rPr>
  </w:style>
  <w:style w:type="paragraph" w:customStyle="1" w:styleId="1">
    <w:name w:val="1."/>
    <w:basedOn w:val="Normale"/>
    <w:pPr>
      <w:tabs>
        <w:tab w:val="left" w:pos="7797"/>
        <w:tab w:val="right" w:pos="9639"/>
      </w:tabs>
      <w:autoSpaceDE w:val="0"/>
      <w:spacing w:before="240"/>
      <w:ind w:left="851" w:right="2500" w:hanging="851"/>
      <w:jc w:val="both"/>
    </w:pPr>
    <w:rPr>
      <w:sz w:val="22"/>
      <w:szCs w:val="22"/>
    </w:rPr>
  </w:style>
  <w:style w:type="paragraph" w:customStyle="1" w:styleId="Framecontents">
    <w:name w:val="Frame contents"/>
    <w:basedOn w:val="Corpodeltesto"/>
  </w:style>
</w:styles>
</file>

<file path=word/webSettings.xml><?xml version="1.0" encoding="utf-8"?>
<w:webSettings xmlns:r="http://schemas.openxmlformats.org/officeDocument/2006/relationships" xmlns:w="http://schemas.openxmlformats.org/wordprocessingml/2006/main">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hyperlink" Target="mailto:comune.gazzola@agonet.i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825</Words>
  <Characters>4707</Characters>
  <Application>Microsoft Office Word</Application>
  <DocSecurity>0</DocSecurity>
  <Lines>39</Lines>
  <Paragraphs>11</Paragraphs>
  <ScaleCrop>false</ScaleCrop>
  <Company/>
  <LinksUpToDate>false</LinksUpToDate>
  <CharactersWithSpaces>5521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GAZZOLA</dc:title>
  <dc:creator>.</dc:creator>
  <cp:lastModifiedBy>valentina.ferrara</cp:lastModifiedBy>
  <cp:revision>2</cp:revision>
  <cp:lastPrinted>2000-12-27T13:24:00Z</cp:lastPrinted>
  <dcterms:created xsi:type="dcterms:W3CDTF">2016-12-09T08:20:00Z</dcterms:created>
  <dcterms:modified xsi:type="dcterms:W3CDTF">2016-12-09T08:20:00Z</dcterms:modified>
</cp:coreProperties>
</file>